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0F" w:rsidRDefault="00282FFC" w:rsidP="00A61F0F">
      <w:pPr>
        <w:spacing w:after="0"/>
        <w:rPr>
          <w:rFonts w:ascii="Arial Narrow" w:hAnsi="Arial Narrow"/>
          <w:b/>
          <w:noProof/>
          <w:color w:val="365F91" w:themeColor="accent1" w:themeShade="BF"/>
        </w:rPr>
      </w:pPr>
      <w:r>
        <w:rPr>
          <w:rFonts w:ascii="Arial Narrow" w:hAnsi="Arial Narrow"/>
          <w:b/>
          <w:noProof/>
          <w:color w:val="365F91" w:themeColor="accent1" w:themeShade="BF"/>
        </w:rPr>
        <w:drawing>
          <wp:anchor distT="0" distB="0" distL="114300" distR="114300" simplePos="0" relativeHeight="251657216" behindDoc="0" locked="0" layoutInCell="1" allowOverlap="1" wp14:anchorId="4C2C541F" wp14:editId="5BA409FE">
            <wp:simplePos x="0" y="0"/>
            <wp:positionH relativeFrom="column">
              <wp:posOffset>5577840</wp:posOffset>
            </wp:positionH>
            <wp:positionV relativeFrom="paragraph">
              <wp:posOffset>-76200</wp:posOffset>
            </wp:positionV>
            <wp:extent cx="142875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D84" w:rsidRPr="002E5D84">
        <w:rPr>
          <w:rFonts w:ascii="Arial Narrow" w:hAnsi="Arial Narrow"/>
          <w:b/>
          <w:noProof/>
          <w:color w:val="365F91" w:themeColor="accent1" w:themeShade="BF"/>
        </w:rPr>
        <w:t>S</w:t>
      </w:r>
      <w:r w:rsidR="002E5D84">
        <w:rPr>
          <w:rFonts w:ascii="Arial Narrow" w:hAnsi="Arial Narrow"/>
          <w:b/>
          <w:noProof/>
          <w:color w:val="365F91" w:themeColor="accent1" w:themeShade="BF"/>
        </w:rPr>
        <w:t>outh Arkansas Community College</w:t>
      </w:r>
    </w:p>
    <w:p w:rsidR="002E5D84" w:rsidRDefault="003A6F71" w:rsidP="00A61F0F">
      <w:pPr>
        <w:spacing w:after="0"/>
        <w:rPr>
          <w:rFonts w:ascii="Arial Narrow" w:hAnsi="Arial Narrow"/>
          <w:b/>
          <w:noProof/>
          <w:color w:val="365F91" w:themeColor="accent1" w:themeShade="BF"/>
        </w:rPr>
      </w:pPr>
      <w:r>
        <w:rPr>
          <w:rFonts w:ascii="Arial Narrow" w:hAnsi="Arial Narrow"/>
          <w:b/>
          <w:noProof/>
          <w:color w:val="365F91" w:themeColor="accent1" w:themeShade="BF"/>
        </w:rPr>
        <w:t xml:space="preserve">Modern Think </w:t>
      </w:r>
      <w:bookmarkStart w:id="0" w:name="_GoBack"/>
      <w:bookmarkEnd w:id="0"/>
      <w:r w:rsidR="002E5D84">
        <w:rPr>
          <w:rFonts w:ascii="Arial Narrow" w:hAnsi="Arial Narrow"/>
          <w:b/>
          <w:noProof/>
          <w:color w:val="365F91" w:themeColor="accent1" w:themeShade="BF"/>
        </w:rPr>
        <w:t xml:space="preserve">Higher Education Insight Survey </w:t>
      </w:r>
      <w:r w:rsidR="00C17BB3">
        <w:rPr>
          <w:rFonts w:ascii="Arial Narrow" w:hAnsi="Arial Narrow"/>
          <w:b/>
          <w:noProof/>
          <w:color w:val="365F91" w:themeColor="accent1" w:themeShade="BF"/>
        </w:rPr>
        <w:t>2014</w:t>
      </w:r>
    </w:p>
    <w:p w:rsidR="002E5D84" w:rsidRPr="002E5D84" w:rsidRDefault="002E5D84" w:rsidP="00A61F0F">
      <w:pPr>
        <w:spacing w:after="0"/>
        <w:rPr>
          <w:rFonts w:ascii="Arial Narrow" w:hAnsi="Arial Narrow"/>
          <w:b/>
          <w:i/>
          <w:color w:val="365F91" w:themeColor="accent1" w:themeShade="BF"/>
          <w:sz w:val="24"/>
          <w:szCs w:val="24"/>
        </w:rPr>
      </w:pPr>
      <w:r>
        <w:rPr>
          <w:rFonts w:ascii="Arial Narrow" w:hAnsi="Arial Narrow"/>
          <w:b/>
          <w:noProof/>
          <w:color w:val="365F91" w:themeColor="accent1" w:themeShade="BF"/>
        </w:rPr>
        <w:t xml:space="preserve">Topline </w:t>
      </w:r>
      <w:r w:rsidR="003A6F71">
        <w:rPr>
          <w:rFonts w:ascii="Arial Narrow" w:hAnsi="Arial Narrow"/>
          <w:b/>
          <w:noProof/>
          <w:color w:val="365F91" w:themeColor="accent1" w:themeShade="BF"/>
        </w:rPr>
        <w:t xml:space="preserve">Survey </w:t>
      </w:r>
      <w:r>
        <w:rPr>
          <w:rFonts w:ascii="Arial Narrow" w:hAnsi="Arial Narrow"/>
          <w:b/>
          <w:noProof/>
          <w:color w:val="365F91" w:themeColor="accent1" w:themeShade="BF"/>
        </w:rPr>
        <w:t xml:space="preserve">Results </w:t>
      </w:r>
    </w:p>
    <w:p w:rsidR="00A61F0F" w:rsidRDefault="00A61F0F" w:rsidP="00A61F0F">
      <w:pPr>
        <w:spacing w:after="0"/>
        <w:rPr>
          <w:rFonts w:ascii="Garamond" w:hAnsi="Garamond"/>
          <w:b/>
          <w:color w:val="FF0000"/>
          <w:sz w:val="24"/>
          <w:szCs w:val="24"/>
        </w:rPr>
      </w:pPr>
    </w:p>
    <w:p w:rsidR="00CC7C0C" w:rsidRDefault="00CC7C0C" w:rsidP="00A61F0F">
      <w:pPr>
        <w:spacing w:after="0"/>
        <w:rPr>
          <w:noProof/>
        </w:rPr>
      </w:pPr>
    </w:p>
    <w:p w:rsidR="000D1365" w:rsidRDefault="000D1365" w:rsidP="00A61F0F">
      <w:pPr>
        <w:spacing w:after="0"/>
        <w:rPr>
          <w:noProof/>
        </w:rPr>
      </w:pPr>
    </w:p>
    <w:p w:rsidR="000D1365" w:rsidRDefault="00060E56" w:rsidP="00A61F0F">
      <w:pPr>
        <w:spacing w:after="0"/>
        <w:rPr>
          <w:noProof/>
        </w:rPr>
      </w:pPr>
      <w:r>
        <w:rPr>
          <w:noProof/>
        </w:rPr>
        <w:drawing>
          <wp:inline distT="0" distB="0" distL="0" distR="0" wp14:anchorId="5E5C38E3" wp14:editId="6725F9BA">
            <wp:extent cx="4023360" cy="22860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1365" w:rsidRDefault="000D1365" w:rsidP="00A61F0F">
      <w:pPr>
        <w:spacing w:after="0"/>
        <w:rPr>
          <w:noProof/>
        </w:rPr>
      </w:pPr>
    </w:p>
    <w:p w:rsidR="006534E0" w:rsidRPr="00646E9F" w:rsidRDefault="002E5D84" w:rsidP="00646E9F">
      <w:pPr>
        <w:pStyle w:val="ListParagraph"/>
        <w:spacing w:after="0"/>
        <w:rPr>
          <w:rFonts w:ascii="Garamond" w:hAnsi="Garamond"/>
          <w:sz w:val="20"/>
          <w:szCs w:val="20"/>
        </w:rPr>
      </w:pPr>
      <w:r w:rsidRPr="002E5D84">
        <w:rPr>
          <w:noProof/>
        </w:rPr>
        <w:drawing>
          <wp:inline distT="0" distB="0" distL="0" distR="0" wp14:anchorId="0102F57F" wp14:editId="6990B485">
            <wp:extent cx="61055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428625"/>
                    </a:xfrm>
                    <a:prstGeom prst="rect">
                      <a:avLst/>
                    </a:prstGeom>
                    <a:noFill/>
                    <a:ln>
                      <a:noFill/>
                    </a:ln>
                  </pic:spPr>
                </pic:pic>
              </a:graphicData>
            </a:graphic>
          </wp:inline>
        </w:drawing>
      </w:r>
    </w:p>
    <w:tbl>
      <w:tblPr>
        <w:tblW w:w="10980" w:type="dxa"/>
        <w:tblLook w:val="06A0" w:firstRow="1" w:lastRow="0" w:firstColumn="1" w:lastColumn="0" w:noHBand="1" w:noVBand="1"/>
      </w:tblPr>
      <w:tblGrid>
        <w:gridCol w:w="366"/>
        <w:gridCol w:w="2538"/>
        <w:gridCol w:w="1466"/>
        <w:gridCol w:w="1802"/>
        <w:gridCol w:w="1882"/>
        <w:gridCol w:w="1713"/>
        <w:gridCol w:w="1213"/>
      </w:tblGrid>
      <w:tr w:rsidR="001E4B6C" w:rsidTr="00A358B3">
        <w:trPr>
          <w:gridAfter w:val="1"/>
          <w:wAfter w:w="1213" w:type="dxa"/>
          <w:trHeight w:val="725"/>
        </w:trPr>
        <w:tc>
          <w:tcPr>
            <w:tcW w:w="2904" w:type="dxa"/>
            <w:gridSpan w:val="2"/>
            <w:tcBorders>
              <w:top w:val="nil"/>
              <w:left w:val="nil"/>
              <w:bottom w:val="nil"/>
              <w:right w:val="nil"/>
            </w:tcBorders>
            <w:shd w:val="clear" w:color="auto" w:fill="auto"/>
            <w:noWrap/>
            <w:vAlign w:val="bottom"/>
            <w:hideMark/>
          </w:tcPr>
          <w:p w:rsidR="001E4B6C" w:rsidRDefault="001E4B6C"/>
        </w:tc>
        <w:tc>
          <w:tcPr>
            <w:tcW w:w="1466" w:type="dxa"/>
            <w:tcBorders>
              <w:top w:val="nil"/>
              <w:left w:val="nil"/>
              <w:bottom w:val="nil"/>
              <w:right w:val="nil"/>
            </w:tcBorders>
            <w:shd w:val="clear" w:color="auto" w:fill="auto"/>
            <w:noWrap/>
            <w:vAlign w:val="center"/>
            <w:hideMark/>
          </w:tcPr>
          <w:p w:rsidR="001E4B6C" w:rsidRDefault="001E4B6C" w:rsidP="00D13DE3">
            <w:pPr>
              <w:jc w:val="center"/>
              <w:rPr>
                <w:rFonts w:ascii="Arial Narrow" w:hAnsi="Arial Narrow"/>
                <w:b/>
                <w:bCs/>
                <w:color w:val="000000"/>
                <w:sz w:val="18"/>
                <w:szCs w:val="18"/>
              </w:rPr>
            </w:pPr>
            <w:r>
              <w:rPr>
                <w:rFonts w:ascii="Arial Narrow" w:hAnsi="Arial Narrow"/>
                <w:b/>
                <w:bCs/>
                <w:color w:val="000000"/>
                <w:sz w:val="18"/>
                <w:szCs w:val="18"/>
              </w:rPr>
              <w:t>2014</w:t>
            </w:r>
          </w:p>
        </w:tc>
        <w:tc>
          <w:tcPr>
            <w:tcW w:w="1802" w:type="dxa"/>
            <w:tcBorders>
              <w:top w:val="nil"/>
              <w:left w:val="nil"/>
              <w:bottom w:val="nil"/>
              <w:right w:val="nil"/>
            </w:tcBorders>
            <w:shd w:val="clear" w:color="auto" w:fill="auto"/>
            <w:noWrap/>
            <w:vAlign w:val="center"/>
            <w:hideMark/>
          </w:tcPr>
          <w:p w:rsidR="001E4B6C" w:rsidRDefault="001E4B6C" w:rsidP="00D13DE3">
            <w:pPr>
              <w:jc w:val="center"/>
              <w:rPr>
                <w:rFonts w:ascii="Arial Narrow" w:hAnsi="Arial Narrow"/>
                <w:b/>
                <w:bCs/>
                <w:color w:val="000000"/>
                <w:sz w:val="18"/>
                <w:szCs w:val="18"/>
              </w:rPr>
            </w:pPr>
            <w:r>
              <w:rPr>
                <w:rFonts w:ascii="Arial Narrow" w:hAnsi="Arial Narrow"/>
                <w:b/>
                <w:bCs/>
                <w:color w:val="000000"/>
                <w:sz w:val="18"/>
                <w:szCs w:val="18"/>
              </w:rPr>
              <w:t>2013</w:t>
            </w:r>
          </w:p>
        </w:tc>
        <w:tc>
          <w:tcPr>
            <w:tcW w:w="1882" w:type="dxa"/>
            <w:tcBorders>
              <w:top w:val="nil"/>
              <w:left w:val="nil"/>
              <w:bottom w:val="nil"/>
              <w:right w:val="nil"/>
            </w:tcBorders>
            <w:shd w:val="clear" w:color="auto" w:fill="auto"/>
            <w:vAlign w:val="center"/>
            <w:hideMark/>
          </w:tcPr>
          <w:p w:rsidR="001E4B6C" w:rsidRDefault="001E4B6C" w:rsidP="00D13DE3">
            <w:pPr>
              <w:jc w:val="center"/>
              <w:rPr>
                <w:rFonts w:ascii="Arial Narrow" w:hAnsi="Arial Narrow"/>
                <w:b/>
                <w:bCs/>
                <w:color w:val="000000"/>
                <w:sz w:val="18"/>
                <w:szCs w:val="18"/>
              </w:rPr>
            </w:pPr>
            <w:r>
              <w:rPr>
                <w:rFonts w:ascii="Arial Narrow" w:hAnsi="Arial Narrow"/>
                <w:b/>
                <w:bCs/>
                <w:color w:val="000000"/>
                <w:sz w:val="18"/>
                <w:szCs w:val="18"/>
              </w:rPr>
              <w:t>2014 Honor Roll &lt; 3,000</w:t>
            </w:r>
          </w:p>
        </w:tc>
        <w:tc>
          <w:tcPr>
            <w:tcW w:w="1713" w:type="dxa"/>
            <w:tcBorders>
              <w:top w:val="nil"/>
              <w:left w:val="nil"/>
              <w:bottom w:val="nil"/>
              <w:right w:val="nil"/>
            </w:tcBorders>
            <w:shd w:val="clear" w:color="auto" w:fill="auto"/>
            <w:vAlign w:val="center"/>
            <w:hideMark/>
          </w:tcPr>
          <w:p w:rsidR="001E4B6C" w:rsidRDefault="001E4B6C" w:rsidP="00D13DE3">
            <w:pPr>
              <w:jc w:val="center"/>
              <w:rPr>
                <w:rFonts w:ascii="Arial Narrow" w:hAnsi="Arial Narrow"/>
                <w:b/>
                <w:bCs/>
                <w:color w:val="000000"/>
                <w:sz w:val="18"/>
                <w:szCs w:val="18"/>
              </w:rPr>
            </w:pPr>
            <w:r>
              <w:rPr>
                <w:rFonts w:ascii="Arial Narrow" w:hAnsi="Arial Narrow"/>
                <w:b/>
                <w:bCs/>
                <w:color w:val="000000"/>
                <w:sz w:val="18"/>
                <w:szCs w:val="18"/>
              </w:rPr>
              <w:t xml:space="preserve">2014 Carnegie </w:t>
            </w:r>
            <w:proofErr w:type="spellStart"/>
            <w:r>
              <w:rPr>
                <w:rFonts w:ascii="Arial Narrow" w:hAnsi="Arial Narrow"/>
                <w:b/>
                <w:bCs/>
                <w:color w:val="000000"/>
                <w:sz w:val="18"/>
                <w:szCs w:val="18"/>
              </w:rPr>
              <w:t>Assoc</w:t>
            </w:r>
            <w:proofErr w:type="spellEnd"/>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D13DE3" w:rsidP="00D13DE3">
            <w:pPr>
              <w:jc w:val="right"/>
              <w:rPr>
                <w:rFonts w:ascii="Arial Narrow" w:hAnsi="Arial Narrow"/>
                <w:color w:val="000000"/>
                <w:sz w:val="18"/>
                <w:szCs w:val="18"/>
              </w:rPr>
            </w:pPr>
            <w:r>
              <w:rPr>
                <w:rFonts w:ascii="Arial Narrow" w:hAnsi="Arial Narrow"/>
                <w:color w:val="000000"/>
                <w:sz w:val="18"/>
                <w:szCs w:val="18"/>
              </w:rPr>
              <w:t>Jo</w:t>
            </w:r>
            <w:r w:rsidR="001E4B6C">
              <w:rPr>
                <w:rFonts w:ascii="Arial Narrow" w:hAnsi="Arial Narrow"/>
                <w:color w:val="000000"/>
                <w:sz w:val="18"/>
                <w:szCs w:val="18"/>
              </w:rPr>
              <w:t>b Satisfaction/Support</w:t>
            </w:r>
          </w:p>
        </w:tc>
        <w:tc>
          <w:tcPr>
            <w:tcW w:w="1466"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71%</w:t>
            </w:r>
          </w:p>
        </w:tc>
        <w:tc>
          <w:tcPr>
            <w:tcW w:w="1802"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72%</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90%</w:t>
            </w:r>
          </w:p>
        </w:tc>
        <w:tc>
          <w:tcPr>
            <w:tcW w:w="1713"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76%</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Teaching Environment</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58%</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56%</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85%</w:t>
            </w:r>
          </w:p>
        </w:tc>
        <w:tc>
          <w:tcPr>
            <w:tcW w:w="1713"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65%</w:t>
            </w:r>
          </w:p>
        </w:tc>
      </w:tr>
      <w:tr w:rsidR="00A358B3" w:rsidTr="00A358B3">
        <w:trPr>
          <w:gridAfter w:val="1"/>
          <w:wAfter w:w="1213" w:type="dxa"/>
          <w:trHeight w:hRule="exact" w:val="39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Professional Development</w:t>
            </w:r>
          </w:p>
        </w:tc>
        <w:tc>
          <w:tcPr>
            <w:tcW w:w="1466"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69%</w:t>
            </w:r>
          </w:p>
        </w:tc>
        <w:tc>
          <w:tcPr>
            <w:tcW w:w="1802"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73%</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86%</w:t>
            </w:r>
          </w:p>
        </w:tc>
        <w:tc>
          <w:tcPr>
            <w:tcW w:w="1713"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73%</w:t>
            </w:r>
          </w:p>
        </w:tc>
      </w:tr>
      <w:tr w:rsidR="00A358B3" w:rsidTr="00A358B3">
        <w:trPr>
          <w:gridAfter w:val="1"/>
          <w:wAfter w:w="1213" w:type="dxa"/>
          <w:trHeight w:hRule="exact" w:val="392"/>
        </w:trPr>
        <w:tc>
          <w:tcPr>
            <w:tcW w:w="2904" w:type="dxa"/>
            <w:gridSpan w:val="2"/>
            <w:tcBorders>
              <w:top w:val="nil"/>
              <w:left w:val="nil"/>
              <w:bottom w:val="nil"/>
              <w:right w:val="nil"/>
            </w:tcBorders>
            <w:shd w:val="clear" w:color="auto" w:fill="auto"/>
            <w:noWrap/>
            <w:tcFitText/>
            <w:hideMark/>
          </w:tcPr>
          <w:p w:rsidR="001E4B6C" w:rsidRDefault="001E4B6C" w:rsidP="00D13DE3">
            <w:pPr>
              <w:jc w:val="right"/>
              <w:rPr>
                <w:rFonts w:ascii="Arial Narrow" w:hAnsi="Arial Narrow"/>
                <w:color w:val="000000"/>
                <w:sz w:val="18"/>
                <w:szCs w:val="18"/>
              </w:rPr>
            </w:pPr>
            <w:r w:rsidRPr="001704F3">
              <w:rPr>
                <w:rFonts w:ascii="Arial Narrow" w:hAnsi="Arial Narrow"/>
                <w:color w:val="000000"/>
                <w:w w:val="90"/>
                <w:sz w:val="18"/>
                <w:szCs w:val="18"/>
              </w:rPr>
              <w:t>Compensation, Benefits &amp; Work/Life</w:t>
            </w:r>
            <w:r w:rsidR="00D13DE3" w:rsidRPr="001704F3">
              <w:rPr>
                <w:rFonts w:ascii="Arial Narrow" w:hAnsi="Arial Narrow"/>
                <w:color w:val="000000"/>
                <w:w w:val="90"/>
                <w:sz w:val="18"/>
                <w:szCs w:val="18"/>
              </w:rPr>
              <w:t xml:space="preserve"> </w:t>
            </w:r>
            <w:r w:rsidRPr="001704F3">
              <w:rPr>
                <w:rFonts w:ascii="Arial Narrow" w:hAnsi="Arial Narrow"/>
                <w:color w:val="000000"/>
                <w:w w:val="90"/>
                <w:sz w:val="18"/>
                <w:szCs w:val="18"/>
              </w:rPr>
              <w:t>Balanc</w:t>
            </w:r>
            <w:r w:rsidRPr="001704F3">
              <w:rPr>
                <w:rFonts w:ascii="Arial Narrow" w:hAnsi="Arial Narrow"/>
                <w:color w:val="000000"/>
                <w:spacing w:val="20"/>
                <w:w w:val="90"/>
                <w:sz w:val="18"/>
                <w:szCs w:val="18"/>
              </w:rPr>
              <w:t>e</w:t>
            </w:r>
          </w:p>
        </w:tc>
        <w:tc>
          <w:tcPr>
            <w:tcW w:w="1466"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66%</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64%</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84%</w:t>
            </w:r>
          </w:p>
        </w:tc>
        <w:tc>
          <w:tcPr>
            <w:tcW w:w="1713"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74%</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Facilities</w:t>
            </w:r>
          </w:p>
        </w:tc>
        <w:tc>
          <w:tcPr>
            <w:tcW w:w="1466"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69%</w:t>
            </w:r>
          </w:p>
        </w:tc>
        <w:tc>
          <w:tcPr>
            <w:tcW w:w="1802"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66%</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91%</w:t>
            </w:r>
          </w:p>
        </w:tc>
        <w:tc>
          <w:tcPr>
            <w:tcW w:w="1713" w:type="dxa"/>
            <w:tcBorders>
              <w:top w:val="nil"/>
              <w:left w:val="nil"/>
              <w:bottom w:val="single" w:sz="12" w:space="0" w:color="FFFFFF"/>
              <w:right w:val="single" w:sz="12" w:space="0" w:color="FFFFFF"/>
            </w:tcBorders>
            <w:shd w:val="clear" w:color="auto" w:fill="365F91" w:themeFill="accent1" w:themeFillShade="BF"/>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75%</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Policies, Resources &amp; Efficiency</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58%</w:t>
            </w:r>
          </w:p>
        </w:tc>
        <w:tc>
          <w:tcPr>
            <w:tcW w:w="1802" w:type="dxa"/>
            <w:tcBorders>
              <w:top w:val="single" w:sz="12" w:space="0" w:color="FFFFFF"/>
              <w:left w:val="single" w:sz="12" w:space="0" w:color="FFFFFF"/>
              <w:bottom w:val="single" w:sz="12" w:space="0" w:color="FFFFFF"/>
              <w:right w:val="single" w:sz="12" w:space="0" w:color="FFFFFF"/>
            </w:tcBorders>
            <w:shd w:val="clear" w:color="000000" w:fill="FABF8F"/>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52%</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83%</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64%</w:t>
            </w:r>
          </w:p>
        </w:tc>
      </w:tr>
      <w:tr w:rsidR="00A358B3" w:rsidTr="00A358B3">
        <w:trPr>
          <w:gridAfter w:val="1"/>
          <w:wAfter w:w="1213" w:type="dxa"/>
          <w:trHeight w:hRule="exact" w:val="39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Shared Governance</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57%</w:t>
            </w:r>
          </w:p>
        </w:tc>
        <w:tc>
          <w:tcPr>
            <w:tcW w:w="1802" w:type="dxa"/>
            <w:tcBorders>
              <w:top w:val="single" w:sz="12" w:space="0" w:color="FFFFFF"/>
              <w:left w:val="single" w:sz="12" w:space="0" w:color="FFFFFF"/>
              <w:bottom w:val="single" w:sz="12" w:space="0" w:color="FFFFFF"/>
              <w:right w:val="single" w:sz="12" w:space="0" w:color="FFFFFF"/>
            </w:tcBorders>
            <w:shd w:val="clear" w:color="000000" w:fill="FABF8F"/>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47%</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86%</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63%</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Pride</w:t>
            </w:r>
          </w:p>
        </w:tc>
        <w:tc>
          <w:tcPr>
            <w:tcW w:w="1466"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76%</w:t>
            </w:r>
          </w:p>
        </w:tc>
        <w:tc>
          <w:tcPr>
            <w:tcW w:w="1802"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73%</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93%</w:t>
            </w:r>
          </w:p>
        </w:tc>
        <w:tc>
          <w:tcPr>
            <w:tcW w:w="1713"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79%</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Supervisors/Department Chairs</w:t>
            </w:r>
          </w:p>
        </w:tc>
        <w:tc>
          <w:tcPr>
            <w:tcW w:w="1466" w:type="dxa"/>
            <w:tcBorders>
              <w:top w:val="nil"/>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75%</w:t>
            </w:r>
          </w:p>
        </w:tc>
        <w:tc>
          <w:tcPr>
            <w:tcW w:w="1802" w:type="dxa"/>
            <w:tcBorders>
              <w:top w:val="nil"/>
              <w:left w:val="nil"/>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75%</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84%</w:t>
            </w:r>
          </w:p>
        </w:tc>
        <w:tc>
          <w:tcPr>
            <w:tcW w:w="1713"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74%</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Senior Leadership</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62%</w:t>
            </w:r>
          </w:p>
        </w:tc>
        <w:tc>
          <w:tcPr>
            <w:tcW w:w="1802" w:type="dxa"/>
            <w:tcBorders>
              <w:top w:val="single" w:sz="12" w:space="0" w:color="FFFFFF"/>
              <w:left w:val="single" w:sz="12" w:space="0" w:color="FFFFFF"/>
              <w:bottom w:val="single" w:sz="12" w:space="0" w:color="FFFFFF"/>
              <w:right w:val="single" w:sz="12" w:space="0" w:color="FFFFFF"/>
            </w:tcBorders>
            <w:shd w:val="clear" w:color="000000" w:fill="FABF8F"/>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51%</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87%</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62%</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Faculty, Administration &amp; Staff Relations</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61%</w:t>
            </w:r>
          </w:p>
        </w:tc>
        <w:tc>
          <w:tcPr>
            <w:tcW w:w="1802" w:type="dxa"/>
            <w:tcBorders>
              <w:top w:val="single" w:sz="12" w:space="0" w:color="FFFFFF"/>
              <w:left w:val="single" w:sz="12" w:space="0" w:color="FFFFFF"/>
              <w:bottom w:val="single" w:sz="12" w:space="0" w:color="FFFFFF"/>
              <w:right w:val="single" w:sz="12" w:space="0" w:color="FFFFFF"/>
            </w:tcBorders>
            <w:shd w:val="clear" w:color="000000" w:fill="FABF8F"/>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49%</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88%</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61%</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Communication</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61%</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55%</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80%</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59%</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Collaboration</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58%</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57%</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85%</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63%</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Fairness</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64%</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57%</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82%</w:t>
            </w:r>
          </w:p>
        </w:tc>
        <w:tc>
          <w:tcPr>
            <w:tcW w:w="1713"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63%</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color w:val="000000"/>
                <w:sz w:val="18"/>
                <w:szCs w:val="18"/>
              </w:rPr>
            </w:pPr>
            <w:r>
              <w:rPr>
                <w:rFonts w:ascii="Arial Narrow" w:hAnsi="Arial Narrow"/>
                <w:color w:val="000000"/>
                <w:sz w:val="18"/>
                <w:szCs w:val="18"/>
              </w:rPr>
              <w:t>Respect &amp; Appreciation</w:t>
            </w:r>
          </w:p>
        </w:tc>
        <w:tc>
          <w:tcPr>
            <w:tcW w:w="1466"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62%</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59%</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85%</w:t>
            </w:r>
          </w:p>
        </w:tc>
        <w:tc>
          <w:tcPr>
            <w:tcW w:w="1713"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66%</w:t>
            </w:r>
          </w:p>
        </w:tc>
      </w:tr>
      <w:tr w:rsidR="00A358B3" w:rsidTr="00A358B3">
        <w:trPr>
          <w:gridAfter w:val="1"/>
          <w:wAfter w:w="1213" w:type="dxa"/>
          <w:trHeight w:hRule="exact" w:val="362"/>
        </w:trPr>
        <w:tc>
          <w:tcPr>
            <w:tcW w:w="2904" w:type="dxa"/>
            <w:gridSpan w:val="2"/>
            <w:tcBorders>
              <w:top w:val="nil"/>
              <w:left w:val="nil"/>
              <w:bottom w:val="nil"/>
              <w:right w:val="nil"/>
            </w:tcBorders>
            <w:shd w:val="clear" w:color="auto" w:fill="auto"/>
            <w:noWrap/>
            <w:vAlign w:val="center"/>
            <w:hideMark/>
          </w:tcPr>
          <w:p w:rsidR="001E4B6C" w:rsidRDefault="001E4B6C" w:rsidP="00D13DE3">
            <w:pPr>
              <w:jc w:val="right"/>
              <w:rPr>
                <w:rFonts w:ascii="Arial Narrow" w:hAnsi="Arial Narrow"/>
                <w:b/>
                <w:bCs/>
                <w:color w:val="000000"/>
                <w:sz w:val="20"/>
                <w:szCs w:val="20"/>
              </w:rPr>
            </w:pPr>
            <w:r>
              <w:rPr>
                <w:rFonts w:ascii="Arial Narrow" w:hAnsi="Arial Narrow"/>
                <w:b/>
                <w:bCs/>
                <w:color w:val="000000"/>
                <w:sz w:val="20"/>
                <w:szCs w:val="20"/>
              </w:rPr>
              <w:t>Survey Average</w:t>
            </w:r>
          </w:p>
        </w:tc>
        <w:tc>
          <w:tcPr>
            <w:tcW w:w="1466"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65%</w:t>
            </w:r>
          </w:p>
        </w:tc>
        <w:tc>
          <w:tcPr>
            <w:tcW w:w="1802" w:type="dxa"/>
            <w:tcBorders>
              <w:top w:val="single" w:sz="12" w:space="0" w:color="FFFFFF"/>
              <w:left w:val="single" w:sz="12" w:space="0" w:color="FFFFFF"/>
              <w:bottom w:val="single" w:sz="12" w:space="0" w:color="FFFFFF"/>
              <w:right w:val="single" w:sz="12" w:space="0" w:color="FFFFFF"/>
            </w:tcBorders>
            <w:shd w:val="clear" w:color="000000" w:fill="DCE6F1"/>
            <w:noWrap/>
            <w:vAlign w:val="center"/>
            <w:hideMark/>
          </w:tcPr>
          <w:p w:rsidR="001E4B6C" w:rsidRDefault="001E4B6C" w:rsidP="00D13DE3">
            <w:pPr>
              <w:jc w:val="center"/>
              <w:rPr>
                <w:rFonts w:ascii="Arial Narrow" w:hAnsi="Arial Narrow"/>
                <w:color w:val="000000"/>
                <w:sz w:val="20"/>
                <w:szCs w:val="20"/>
              </w:rPr>
            </w:pPr>
            <w:r>
              <w:rPr>
                <w:rFonts w:ascii="Arial Narrow" w:hAnsi="Arial Narrow"/>
                <w:color w:val="000000"/>
                <w:sz w:val="20"/>
                <w:szCs w:val="20"/>
              </w:rPr>
              <w:t>60%</w:t>
            </w:r>
          </w:p>
        </w:tc>
        <w:tc>
          <w:tcPr>
            <w:tcW w:w="1882" w:type="dxa"/>
            <w:tcBorders>
              <w:top w:val="single" w:sz="12" w:space="0" w:color="FFFFFF"/>
              <w:left w:val="single" w:sz="12" w:space="0" w:color="FFFFFF"/>
              <w:bottom w:val="single" w:sz="12" w:space="0" w:color="FFFFFF"/>
              <w:right w:val="single" w:sz="12" w:space="0" w:color="FFFFFF"/>
            </w:tcBorders>
            <w:shd w:val="clear" w:color="000000" w:fill="366092"/>
            <w:noWrap/>
            <w:vAlign w:val="center"/>
            <w:hideMark/>
          </w:tcPr>
          <w:p w:rsidR="001E4B6C" w:rsidRDefault="001E4B6C" w:rsidP="00D13DE3">
            <w:pPr>
              <w:jc w:val="center"/>
              <w:rPr>
                <w:rFonts w:ascii="Arial Narrow" w:hAnsi="Arial Narrow"/>
                <w:color w:val="FFFFFF"/>
                <w:sz w:val="20"/>
                <w:szCs w:val="20"/>
              </w:rPr>
            </w:pPr>
            <w:r>
              <w:rPr>
                <w:rFonts w:ascii="Arial Narrow" w:hAnsi="Arial Narrow"/>
                <w:color w:val="FFFFFF"/>
                <w:sz w:val="20"/>
                <w:szCs w:val="20"/>
              </w:rPr>
              <w:t>85%</w:t>
            </w:r>
          </w:p>
        </w:tc>
        <w:tc>
          <w:tcPr>
            <w:tcW w:w="1713" w:type="dxa"/>
            <w:tcBorders>
              <w:top w:val="single" w:sz="12" w:space="0" w:color="FFFFFF"/>
              <w:left w:val="single" w:sz="12" w:space="0" w:color="FFFFFF"/>
              <w:bottom w:val="single" w:sz="12" w:space="0" w:color="FFFFFF"/>
              <w:right w:val="single" w:sz="12" w:space="0" w:color="FFFFFF"/>
            </w:tcBorders>
            <w:shd w:val="clear" w:color="000000" w:fill="95B3D7"/>
            <w:noWrap/>
            <w:vAlign w:val="center"/>
            <w:hideMark/>
          </w:tcPr>
          <w:p w:rsidR="001E4B6C" w:rsidRDefault="001E4B6C" w:rsidP="00D13DE3">
            <w:pPr>
              <w:jc w:val="center"/>
              <w:rPr>
                <w:rFonts w:ascii="Arial Narrow" w:hAnsi="Arial Narrow"/>
                <w:sz w:val="20"/>
                <w:szCs w:val="20"/>
              </w:rPr>
            </w:pPr>
            <w:r>
              <w:rPr>
                <w:rFonts w:ascii="Arial Narrow" w:hAnsi="Arial Narrow"/>
                <w:sz w:val="20"/>
                <w:szCs w:val="20"/>
              </w:rPr>
              <w:t>68%</w:t>
            </w:r>
          </w:p>
        </w:tc>
      </w:tr>
      <w:tr w:rsidR="009C7270" w:rsidRPr="00154F72" w:rsidTr="00A358B3">
        <w:trPr>
          <w:gridBefore w:val="1"/>
          <w:wBefore w:w="366" w:type="dxa"/>
          <w:trHeight w:val="318"/>
        </w:trPr>
        <w:tc>
          <w:tcPr>
            <w:tcW w:w="10614" w:type="dxa"/>
            <w:gridSpan w:val="6"/>
            <w:tcBorders>
              <w:top w:val="nil"/>
              <w:left w:val="nil"/>
              <w:bottom w:val="nil"/>
              <w:right w:val="nil"/>
            </w:tcBorders>
            <w:shd w:val="clear" w:color="auto" w:fill="auto"/>
            <w:noWrap/>
            <w:vAlign w:val="center"/>
          </w:tcPr>
          <w:p w:rsidR="009C7270" w:rsidRDefault="009C7270" w:rsidP="00A358B3">
            <w:pPr>
              <w:spacing w:after="0" w:line="240" w:lineRule="auto"/>
              <w:jc w:val="center"/>
              <w:rPr>
                <w:rFonts w:ascii="Garamond" w:eastAsia="Times New Roman" w:hAnsi="Garamond" w:cs="Calibri"/>
                <w:color w:val="000000"/>
                <w:sz w:val="18"/>
                <w:szCs w:val="18"/>
              </w:rPr>
            </w:pPr>
          </w:p>
        </w:tc>
      </w:tr>
      <w:tr w:rsidR="00A358B3" w:rsidRPr="00154F72" w:rsidTr="00A358B3">
        <w:trPr>
          <w:gridBefore w:val="1"/>
          <w:wBefore w:w="366" w:type="dxa"/>
          <w:trHeight w:val="318"/>
        </w:trPr>
        <w:tc>
          <w:tcPr>
            <w:tcW w:w="10614" w:type="dxa"/>
            <w:gridSpan w:val="6"/>
            <w:tcBorders>
              <w:top w:val="nil"/>
              <w:left w:val="nil"/>
              <w:bottom w:val="nil"/>
              <w:right w:val="nil"/>
            </w:tcBorders>
            <w:shd w:val="clear" w:color="auto" w:fill="auto"/>
            <w:noWrap/>
            <w:vAlign w:val="center"/>
          </w:tcPr>
          <w:p w:rsidR="00A358B3" w:rsidRPr="00154F72" w:rsidRDefault="00A358B3" w:rsidP="00A358B3">
            <w:pPr>
              <w:spacing w:after="0" w:line="240" w:lineRule="auto"/>
              <w:jc w:val="center"/>
              <w:rPr>
                <w:rFonts w:ascii="Calibri" w:eastAsia="Times New Roman" w:hAnsi="Calibri" w:cs="Calibri"/>
                <w:color w:val="000000"/>
              </w:rPr>
            </w:pPr>
            <w:r w:rsidRPr="009C7270">
              <w:rPr>
                <w:rFonts w:ascii="Garamond" w:eastAsia="Times New Roman" w:hAnsi="Garamond" w:cs="Calibri"/>
                <w:color w:val="000000"/>
                <w:sz w:val="16"/>
                <w:szCs w:val="16"/>
              </w:rPr>
              <w:t>*Results in the first one or two columns (two if participated in the program last year) of the table reflect your school’s average percent positive for each survey dimension, that is, percentage of your faculty and staff that responded with “Strongly Agree” or “Agree” to the statements comprising each theme</w:t>
            </w:r>
            <w:r>
              <w:rPr>
                <w:rFonts w:ascii="Garamond" w:eastAsia="Times New Roman" w:hAnsi="Garamond" w:cs="Calibri"/>
                <w:color w:val="000000"/>
                <w:sz w:val="18"/>
                <w:szCs w:val="18"/>
              </w:rPr>
              <w:t>.</w:t>
            </w:r>
          </w:p>
        </w:tc>
      </w:tr>
      <w:tr w:rsidR="00A358B3" w:rsidRPr="00154F72" w:rsidTr="00A358B3">
        <w:trPr>
          <w:gridBefore w:val="1"/>
          <w:wBefore w:w="366" w:type="dxa"/>
          <w:trHeight w:val="318"/>
        </w:trPr>
        <w:tc>
          <w:tcPr>
            <w:tcW w:w="10614" w:type="dxa"/>
            <w:gridSpan w:val="6"/>
            <w:tcBorders>
              <w:top w:val="nil"/>
              <w:left w:val="nil"/>
              <w:bottom w:val="nil"/>
              <w:right w:val="nil"/>
            </w:tcBorders>
            <w:shd w:val="clear" w:color="auto" w:fill="auto"/>
            <w:noWrap/>
            <w:vAlign w:val="bottom"/>
          </w:tcPr>
          <w:p w:rsidR="00A358B3" w:rsidRDefault="00A358B3" w:rsidP="00154F72">
            <w:pPr>
              <w:spacing w:after="0" w:line="240" w:lineRule="auto"/>
              <w:rPr>
                <w:rFonts w:ascii="Garamond" w:eastAsia="Times New Roman" w:hAnsi="Garamond" w:cs="Calibri"/>
                <w:color w:val="000000"/>
                <w:sz w:val="18"/>
                <w:szCs w:val="18"/>
              </w:rPr>
            </w:pPr>
          </w:p>
        </w:tc>
      </w:tr>
    </w:tbl>
    <w:p w:rsidR="002E5D84" w:rsidRDefault="002E5D84">
      <w:pPr>
        <w:rPr>
          <w:rFonts w:ascii="Garamond" w:hAnsi="Garamond"/>
          <w:sz w:val="20"/>
          <w:szCs w:val="20"/>
        </w:rPr>
      </w:pPr>
    </w:p>
    <w:sectPr w:rsidR="002E5D84" w:rsidSect="00DE7002">
      <w:type w:val="continuous"/>
      <w:pgSz w:w="12240" w:h="15840"/>
      <w:pgMar w:top="720" w:right="864" w:bottom="720" w:left="576" w:header="720" w:footer="720" w:gutter="0"/>
      <w:pgBorders w:offsetFrom="page">
        <w:top w:val="single" w:sz="18" w:space="24" w:color="auto"/>
        <w:left w:val="single" w:sz="18" w:space="24" w:color="auto"/>
        <w:bottom w:val="single" w:sz="18" w:space="24" w:color="auto"/>
        <w:right w:val="single" w:sz="18" w:space="24" w:color="auto"/>
      </w:pgBorders>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D4C2E"/>
    <w:multiLevelType w:val="hybridMultilevel"/>
    <w:tmpl w:val="A0C07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88"/>
  <w:drawingGridVerticalSpacing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0F"/>
    <w:rsid w:val="000215E8"/>
    <w:rsid w:val="0003180D"/>
    <w:rsid w:val="00060E56"/>
    <w:rsid w:val="000672BD"/>
    <w:rsid w:val="000D1365"/>
    <w:rsid w:val="000D48FF"/>
    <w:rsid w:val="000E45D0"/>
    <w:rsid w:val="000F3ADD"/>
    <w:rsid w:val="000F7417"/>
    <w:rsid w:val="00104EC2"/>
    <w:rsid w:val="00107E19"/>
    <w:rsid w:val="00114539"/>
    <w:rsid w:val="0012183F"/>
    <w:rsid w:val="0012670C"/>
    <w:rsid w:val="00130091"/>
    <w:rsid w:val="00154F72"/>
    <w:rsid w:val="0016578E"/>
    <w:rsid w:val="001704F3"/>
    <w:rsid w:val="001E3090"/>
    <w:rsid w:val="001E4B6C"/>
    <w:rsid w:val="00200945"/>
    <w:rsid w:val="0020465E"/>
    <w:rsid w:val="002502E5"/>
    <w:rsid w:val="00260631"/>
    <w:rsid w:val="00282FFC"/>
    <w:rsid w:val="002A215A"/>
    <w:rsid w:val="002B31C4"/>
    <w:rsid w:val="002E5D84"/>
    <w:rsid w:val="002E7121"/>
    <w:rsid w:val="002F179F"/>
    <w:rsid w:val="00306C36"/>
    <w:rsid w:val="00350C2E"/>
    <w:rsid w:val="003A6F71"/>
    <w:rsid w:val="003C7E81"/>
    <w:rsid w:val="003E335C"/>
    <w:rsid w:val="0040525F"/>
    <w:rsid w:val="004123A4"/>
    <w:rsid w:val="00443162"/>
    <w:rsid w:val="00453AB8"/>
    <w:rsid w:val="00495146"/>
    <w:rsid w:val="004C32C1"/>
    <w:rsid w:val="004E668C"/>
    <w:rsid w:val="004F1B12"/>
    <w:rsid w:val="004F1F8D"/>
    <w:rsid w:val="004F65ED"/>
    <w:rsid w:val="005022F8"/>
    <w:rsid w:val="005114CA"/>
    <w:rsid w:val="00553467"/>
    <w:rsid w:val="00555BE6"/>
    <w:rsid w:val="005B6F4C"/>
    <w:rsid w:val="005C40E2"/>
    <w:rsid w:val="005F41A3"/>
    <w:rsid w:val="006349A3"/>
    <w:rsid w:val="00646E9F"/>
    <w:rsid w:val="006534E0"/>
    <w:rsid w:val="0066772B"/>
    <w:rsid w:val="00697805"/>
    <w:rsid w:val="006C3ECD"/>
    <w:rsid w:val="00700C7D"/>
    <w:rsid w:val="007345B7"/>
    <w:rsid w:val="0077559F"/>
    <w:rsid w:val="007872C1"/>
    <w:rsid w:val="007926DD"/>
    <w:rsid w:val="007A22A7"/>
    <w:rsid w:val="007E177E"/>
    <w:rsid w:val="007F0C67"/>
    <w:rsid w:val="0080030E"/>
    <w:rsid w:val="0081679D"/>
    <w:rsid w:val="00841475"/>
    <w:rsid w:val="00850309"/>
    <w:rsid w:val="0086305A"/>
    <w:rsid w:val="00864D9A"/>
    <w:rsid w:val="00875C8B"/>
    <w:rsid w:val="00894011"/>
    <w:rsid w:val="00952D2D"/>
    <w:rsid w:val="00957FA0"/>
    <w:rsid w:val="009710D7"/>
    <w:rsid w:val="009925C1"/>
    <w:rsid w:val="009C7270"/>
    <w:rsid w:val="009E6504"/>
    <w:rsid w:val="00A303B9"/>
    <w:rsid w:val="00A344C5"/>
    <w:rsid w:val="00A358B3"/>
    <w:rsid w:val="00A5371F"/>
    <w:rsid w:val="00A61F0F"/>
    <w:rsid w:val="00A639C1"/>
    <w:rsid w:val="00A76807"/>
    <w:rsid w:val="00AB38CA"/>
    <w:rsid w:val="00AC3FD1"/>
    <w:rsid w:val="00AC5C07"/>
    <w:rsid w:val="00AD5032"/>
    <w:rsid w:val="00AF7430"/>
    <w:rsid w:val="00B348D0"/>
    <w:rsid w:val="00B4607D"/>
    <w:rsid w:val="00B64369"/>
    <w:rsid w:val="00B86F87"/>
    <w:rsid w:val="00BA3DA1"/>
    <w:rsid w:val="00BD29FF"/>
    <w:rsid w:val="00BF55D8"/>
    <w:rsid w:val="00C17BB3"/>
    <w:rsid w:val="00C17DD4"/>
    <w:rsid w:val="00C25D6A"/>
    <w:rsid w:val="00C32AE8"/>
    <w:rsid w:val="00C83F1B"/>
    <w:rsid w:val="00C9353C"/>
    <w:rsid w:val="00CB44D2"/>
    <w:rsid w:val="00CC7C0C"/>
    <w:rsid w:val="00D01FD1"/>
    <w:rsid w:val="00D13A38"/>
    <w:rsid w:val="00D13DE3"/>
    <w:rsid w:val="00D1697D"/>
    <w:rsid w:val="00D427BE"/>
    <w:rsid w:val="00D47E35"/>
    <w:rsid w:val="00D5671D"/>
    <w:rsid w:val="00DE541D"/>
    <w:rsid w:val="00DE7002"/>
    <w:rsid w:val="00EE4032"/>
    <w:rsid w:val="00F31B00"/>
    <w:rsid w:val="00F47931"/>
    <w:rsid w:val="00F50016"/>
    <w:rsid w:val="00F7094F"/>
    <w:rsid w:val="00F85649"/>
    <w:rsid w:val="00F97E3B"/>
    <w:rsid w:val="00FA0858"/>
    <w:rsid w:val="00FB7EC0"/>
    <w:rsid w:val="00FC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394A1-6AD7-4ECD-BE72-728C37F4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F"/>
    <w:rPr>
      <w:rFonts w:ascii="Tahoma" w:hAnsi="Tahoma" w:cs="Tahoma"/>
      <w:sz w:val="16"/>
      <w:szCs w:val="16"/>
    </w:rPr>
  </w:style>
  <w:style w:type="table" w:styleId="TableGrid">
    <w:name w:val="Table Grid"/>
    <w:basedOn w:val="TableNormal"/>
    <w:uiPriority w:val="59"/>
    <w:rsid w:val="004F6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34E0"/>
    <w:rPr>
      <w:color w:val="0000FF" w:themeColor="hyperlink"/>
      <w:u w:val="single"/>
    </w:rPr>
  </w:style>
  <w:style w:type="paragraph" w:styleId="ListParagraph">
    <w:name w:val="List Paragraph"/>
    <w:basedOn w:val="Normal"/>
    <w:uiPriority w:val="34"/>
    <w:qFormat/>
    <w:rsid w:val="0064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248">
      <w:bodyDiv w:val="1"/>
      <w:marLeft w:val="0"/>
      <w:marRight w:val="0"/>
      <w:marTop w:val="0"/>
      <w:marBottom w:val="0"/>
      <w:divBdr>
        <w:top w:val="none" w:sz="0" w:space="0" w:color="auto"/>
        <w:left w:val="none" w:sz="0" w:space="0" w:color="auto"/>
        <w:bottom w:val="none" w:sz="0" w:space="0" w:color="auto"/>
        <w:right w:val="none" w:sz="0" w:space="0" w:color="auto"/>
      </w:divBdr>
    </w:div>
    <w:div w:id="116267888">
      <w:bodyDiv w:val="1"/>
      <w:marLeft w:val="0"/>
      <w:marRight w:val="0"/>
      <w:marTop w:val="0"/>
      <w:marBottom w:val="0"/>
      <w:divBdr>
        <w:top w:val="none" w:sz="0" w:space="0" w:color="auto"/>
        <w:left w:val="none" w:sz="0" w:space="0" w:color="auto"/>
        <w:bottom w:val="none" w:sz="0" w:space="0" w:color="auto"/>
        <w:right w:val="none" w:sz="0" w:space="0" w:color="auto"/>
      </w:divBdr>
    </w:div>
    <w:div w:id="270478855">
      <w:bodyDiv w:val="1"/>
      <w:marLeft w:val="0"/>
      <w:marRight w:val="0"/>
      <w:marTop w:val="0"/>
      <w:marBottom w:val="0"/>
      <w:divBdr>
        <w:top w:val="none" w:sz="0" w:space="0" w:color="auto"/>
        <w:left w:val="none" w:sz="0" w:space="0" w:color="auto"/>
        <w:bottom w:val="none" w:sz="0" w:space="0" w:color="auto"/>
        <w:right w:val="none" w:sz="0" w:space="0" w:color="auto"/>
      </w:divBdr>
    </w:div>
    <w:div w:id="402415133">
      <w:bodyDiv w:val="1"/>
      <w:marLeft w:val="0"/>
      <w:marRight w:val="0"/>
      <w:marTop w:val="0"/>
      <w:marBottom w:val="0"/>
      <w:divBdr>
        <w:top w:val="none" w:sz="0" w:space="0" w:color="auto"/>
        <w:left w:val="none" w:sz="0" w:space="0" w:color="auto"/>
        <w:bottom w:val="none" w:sz="0" w:space="0" w:color="auto"/>
        <w:right w:val="none" w:sz="0" w:space="0" w:color="auto"/>
      </w:divBdr>
    </w:div>
    <w:div w:id="1189373102">
      <w:bodyDiv w:val="1"/>
      <w:marLeft w:val="0"/>
      <w:marRight w:val="0"/>
      <w:marTop w:val="0"/>
      <w:marBottom w:val="0"/>
      <w:divBdr>
        <w:top w:val="none" w:sz="0" w:space="0" w:color="auto"/>
        <w:left w:val="none" w:sz="0" w:space="0" w:color="auto"/>
        <w:bottom w:val="none" w:sz="0" w:space="0" w:color="auto"/>
        <w:right w:val="none" w:sz="0" w:space="0" w:color="auto"/>
      </w:divBdr>
    </w:div>
    <w:div w:id="1439791860">
      <w:bodyDiv w:val="1"/>
      <w:marLeft w:val="0"/>
      <w:marRight w:val="0"/>
      <w:marTop w:val="0"/>
      <w:marBottom w:val="0"/>
      <w:divBdr>
        <w:top w:val="none" w:sz="0" w:space="0" w:color="auto"/>
        <w:left w:val="none" w:sz="0" w:space="0" w:color="auto"/>
        <w:bottom w:val="none" w:sz="0" w:space="0" w:color="auto"/>
        <w:right w:val="none" w:sz="0" w:space="0" w:color="auto"/>
      </w:divBdr>
    </w:div>
    <w:div w:id="1494294067">
      <w:bodyDiv w:val="1"/>
      <w:marLeft w:val="0"/>
      <w:marRight w:val="0"/>
      <w:marTop w:val="0"/>
      <w:marBottom w:val="0"/>
      <w:divBdr>
        <w:top w:val="none" w:sz="0" w:space="0" w:color="auto"/>
        <w:left w:val="none" w:sz="0" w:space="0" w:color="auto"/>
        <w:bottom w:val="none" w:sz="0" w:space="0" w:color="auto"/>
        <w:right w:val="none" w:sz="0" w:space="0" w:color="auto"/>
      </w:divBdr>
    </w:div>
    <w:div w:id="1614239943">
      <w:bodyDiv w:val="1"/>
      <w:marLeft w:val="0"/>
      <w:marRight w:val="0"/>
      <w:marTop w:val="0"/>
      <w:marBottom w:val="0"/>
      <w:divBdr>
        <w:top w:val="none" w:sz="0" w:space="0" w:color="auto"/>
        <w:left w:val="none" w:sz="0" w:space="0" w:color="auto"/>
        <w:bottom w:val="none" w:sz="0" w:space="0" w:color="auto"/>
        <w:right w:val="none" w:sz="0" w:space="0" w:color="auto"/>
      </w:divBdr>
    </w:div>
    <w:div w:id="1712070142">
      <w:bodyDiv w:val="1"/>
      <w:marLeft w:val="0"/>
      <w:marRight w:val="0"/>
      <w:marTop w:val="0"/>
      <w:marBottom w:val="0"/>
      <w:divBdr>
        <w:top w:val="none" w:sz="0" w:space="0" w:color="auto"/>
        <w:left w:val="none" w:sz="0" w:space="0" w:color="auto"/>
        <w:bottom w:val="none" w:sz="0" w:space="0" w:color="auto"/>
        <w:right w:val="none" w:sz="0" w:space="0" w:color="auto"/>
      </w:divBdr>
    </w:div>
    <w:div w:id="17981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 Rate</a:t>
            </a:r>
          </a:p>
        </c:rich>
      </c:tx>
      <c:layout/>
      <c:overlay val="0"/>
    </c:title>
    <c:autoTitleDeleted val="0"/>
    <c:plotArea>
      <c:layout>
        <c:manualLayout>
          <c:layoutTarget val="inner"/>
          <c:xMode val="edge"/>
          <c:yMode val="edge"/>
          <c:x val="0.1875"/>
          <c:y val="0.14583333333333334"/>
          <c:w val="0.46388888888888891"/>
          <c:h val="0.77314814814814814"/>
        </c:manualLayout>
      </c:layout>
      <c:doughnutChart>
        <c:varyColors val="1"/>
        <c:ser>
          <c:idx val="0"/>
          <c:order val="0"/>
          <c:spPr>
            <a:solidFill>
              <a:schemeClr val="bg2">
                <a:lumMod val="90000"/>
              </a:schemeClr>
            </a:solidFill>
          </c:spPr>
          <c:dPt>
            <c:idx val="3"/>
            <c:bubble3D val="0"/>
            <c:explosion val="3"/>
            <c:spPr>
              <a:solidFill>
                <a:srgbClr val="883230"/>
              </a:solidFill>
            </c:spPr>
          </c:dPt>
          <c:dLbls>
            <c:dLbl>
              <c:idx val="0"/>
              <c:layout>
                <c:manualLayout>
                  <c:x val="-9.8029155159162509E-2"/>
                  <c:y val="3.7037037037037035E-2"/>
                </c:manualLayout>
              </c:layout>
              <c:spPr/>
              <c:txPr>
                <a:bodyPr/>
                <a:lstStyle/>
                <a:p>
                  <a:pPr>
                    <a:defRPr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val>
            <c:numRef>
              <c:f>Sheet1!$C$25:$G$25</c:f>
              <c:numCache>
                <c:formatCode>0.0%</c:formatCode>
                <c:ptCount val="5"/>
                <c:pt idx="0">
                  <c:v>0.36799999999999999</c:v>
                </c:pt>
                <c:pt idx="3" formatCode="0">
                  <c:v>136</c:v>
                </c:pt>
                <c:pt idx="4" formatCode="0">
                  <c:v>50</c:v>
                </c:pt>
              </c:numCache>
            </c:numRef>
          </c:val>
        </c:ser>
        <c:dLbls>
          <c:showLegendKey val="0"/>
          <c:showVal val="1"/>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0.67263</cdr:x>
      <cdr:y>0.20486</cdr:y>
    </cdr:from>
    <cdr:to>
      <cdr:x>0.98771</cdr:x>
      <cdr:y>0.74653</cdr:y>
    </cdr:to>
    <cdr:sp macro="" textlink="">
      <cdr:nvSpPr>
        <cdr:cNvPr id="2" name="TextBox 1"/>
        <cdr:cNvSpPr txBox="1"/>
      </cdr:nvSpPr>
      <cdr:spPr>
        <a:xfrm xmlns:a="http://schemas.openxmlformats.org/drawingml/2006/main">
          <a:off x="2867023" y="561975"/>
          <a:ext cx="1343025" cy="1485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mn-lt"/>
            </a:rPr>
            <a:t>36.8 Response</a:t>
          </a:r>
          <a:r>
            <a:rPr lang="en-US" sz="1000" baseline="0">
              <a:latin typeface="+mn-lt"/>
            </a:rPr>
            <a:t> Rate</a:t>
          </a:r>
        </a:p>
        <a:p xmlns:a="http://schemas.openxmlformats.org/drawingml/2006/main">
          <a:endParaRPr lang="en-US" sz="1000" baseline="0">
            <a:latin typeface="+mn-lt"/>
          </a:endParaRPr>
        </a:p>
        <a:p xmlns:a="http://schemas.openxmlformats.org/drawingml/2006/main">
          <a:r>
            <a:rPr lang="en-US" sz="1000" baseline="0">
              <a:latin typeface="+mn-lt"/>
            </a:rPr>
            <a:t>136 Surveys Sent</a:t>
          </a:r>
        </a:p>
        <a:p xmlns:a="http://schemas.openxmlformats.org/drawingml/2006/main">
          <a:endParaRPr lang="en-US" sz="1000" baseline="0">
            <a:latin typeface="+mn-lt"/>
          </a:endParaRPr>
        </a:p>
        <a:p xmlns:a="http://schemas.openxmlformats.org/drawingml/2006/main">
          <a:r>
            <a:rPr lang="en-US" sz="1000" baseline="0">
              <a:latin typeface="+mn-lt"/>
            </a:rPr>
            <a:t>50 Total  Respondents</a:t>
          </a:r>
          <a:endParaRPr lang="en-US" sz="1000">
            <a:latin typeface="+mn-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2E36-A503-4C8B-9652-F0DF2023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 Waldrop</cp:lastModifiedBy>
  <cp:revision>6</cp:revision>
  <cp:lastPrinted>2014-08-06T17:01:00Z</cp:lastPrinted>
  <dcterms:created xsi:type="dcterms:W3CDTF">2014-08-06T15:16:00Z</dcterms:created>
  <dcterms:modified xsi:type="dcterms:W3CDTF">2014-08-06T18:24:00Z</dcterms:modified>
</cp:coreProperties>
</file>